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177</w:t>
      </w:r>
    </w:p>
    <w:p>
      <w:r>
        <w:t>Bundesgericht (BGE), 1973-11-06, DE</w:t>
      </w:r>
    </w:p>
    <w:p>
      <w:r>
        <w:rPr>
          <w:b/>
        </w:rPr>
        <w:t xml:space="preserve">Quelle: </w:t>
      </w:r>
      <w:r>
        <w:t>https://mcp.opencaselaw.ch/entscheid/bge_99 V 177</w:t>
      </w:r>
    </w:p>
    <w:p>
      <w:r>
        <w:t>FR: ATF 99 V 177</w:t>
      </w:r>
    </w:p>
    <w:p>
      <w:r>
        <w:t>IT: DTF 99 V 177</w:t>
      </w:r>
    </w:p>
    <w:p>
      <w:pPr>
        <w:pStyle w:val="Heading2"/>
      </w:pPr>
      <w:r>
        <w:t>Regeste</w:t>
      </w:r>
    </w:p>
    <w:p>
      <w:r>
        <w:t>Regeste Art. 104, 105 und 132 OG. Umfang der Überprüfungsbefugnis des Eidg. Versicherungsgerichts im Prozess um Versicherungsleistungen, den die Vorinstanz durch Nichteintretensentscheid erledigt hat (Erw. 2 b). Art. 11 VwG. - Form der Vertretungsvollmacht (Erw. 3). - Bedeutung des Abs. 3 dieser Bestimmung (Erw. 3). Art. 38 VwG. Zustellung einer beschwerdefähigen Verfügung an die Partei persönlich statt an ihren Vertreter: Mangel, aus dem der Partei kein Nachteil erwachsen darf (Erw. 3).</w:t>
      </w:r>
    </w:p>
    <w:p>
      <w:pPr>
        <w:pStyle w:val="Heading2"/>
      </w:pPr>
      <w:r>
        <w:t>Erwägungen</w:t>
      </w:r>
    </w:p>
    <w:p>
      <w:r>
        <w:rPr>
          <w:b/>
        </w:rPr>
        <w:t>E. 1</w:t>
      </w:r>
    </w:p>
    <w:p>
      <w:r>
        <w:t>Der Auffassung der Beschwerdegegnerin, beim angefochtenen Nichteintretensentscheid des Versicherungsgerichts des Kantons Bern handle es sich um eine Zwischenverfügung im Sinne von Art. 45 VwG, kann nicht beigepflichtet werden. Zwischenverfügungen sind prozessleitende Verfügungen, "die das Verfahren bestimmend vorantreiben, aber nur mittelbar den Streitgegenstand angehen, diesen jedenfalls nicht abschliessend durch Rechtsspruch erledigen" (GYGI, Verwaltungsrechtspflege und Verwaltungsverfahren im Bund, S. 89). Der Nichteintretensentscheid wegen Verspätung des Rechtsmittels ist keine solche Zwischenverfügung, sondern vielmehr - im Sinne eines Prozessurteils - der instanzabschliessende Entscheid darüber, dass überhaupt kein Sachurteil zu ergehen hat. Die Beschwerdefrist beträgt somit nach Art. 106 Abs. 1 OG 30 Tage. Sie wurde im vorliegenden Fall eingehalten. Auf die Verwaltungsgerichtsbeschwerde ist daher einzutreten.</w:t>
      </w:r>
    </w:p>
    <w:p>
      <w:r>
        <w:rPr>
          <w:b/>
        </w:rPr>
        <w:t>E. 2</w:t>
      </w:r>
    </w:p>
    <w:p>
      <w:r>
        <w:t>a) Der Beschwerdeführer macht geltend, die Vorinstanz habe zu Unrecht angenommen, die bei ihr eingereichte Beschwerde sei verspätet erfolgt. Damit erhebt er die nach Art. 104 lit. a OG zulässige Rüge der Verletzung von Bundesrecht, denn die SUVA ist eine autonome eidgenössische Anstalt im Sinne von Art. 1 Abs. 2 lit. c VwG und untersteht insoweit diesem Gesetz. Die Frist zur Beschwerde gegen die Verfügungen der Anstalt ist eine bundesrechtliche Frist. BGE 99 V 177 S. 181 b) Obschon die vorinstanzliche Beschwerde auf Versicherungsleistungen gerichtet war, geht es bei der Überprüfung der Verwaltungsgerichtsbeschwerde um eine prozessrechtliche Frage, weshalb das Eidg. Versicherungsgericht nur zu prüfen hat,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Im vorliegenden Fall ist streitig, ob die in der Rechtsmittelbelehrung erwähnte 6monatige Frist zur Einreichung der Beschwerde mit der Zustellung der angefochtenen Verfügung an den Versicherten persönlich oder erst an seinen Vertreter zu laufen begann. Aus den Akten ergibt sich, dass die Beschwerdegegnerin bzw. ihre Agentur für das PTT-Personal schon lange Zeit vor Erlass der Rentenverfügung vom 6. April 1972 mit Dr. S. verkehrt hatte. Die schriftlich eingereichte Vollmacht datiert allerdings vom 28. April 1972. Die Einreichung einer schriftlichen Vollmacht ist indessen keine notwendige formelle Voraussetzung dafür, dass jemand im Verwaltungsverfahren als Parteivertreter auftreten und von der Verwaltung als solcher anerkannt werden kann. Art. 11 Abs. 2 VwG erteilt der Behörde lediglich die Befugnis, den Vertreter aufzufordern, sich durch schriftliche Vollmacht auszuweisen. Grundsätzlich ist somit auch eine mündliche oder durch konkludentes Handeln erteilte Vertretungsvollmacht gültig. Nach dem Gesagten kann nicht zweifelhaft sein, dass die Beschwerdegegnerin bzw. ihr Agenturdienst Dr. S. als bevollmächtigten Vertreter des Beschwerdeführers betrachtete, obwohl eine schriftliche Vollmacht weder eingereicht noch verlangt worden war. Hätte die SUVA dies nicht vorausgesetzt, so hätte sie namentlich die erteilten medizinischen Auskünfte gar nicht geben und auch keine Akten edieren dürfen. Ebensowenig hätte sie Veranlassung gehabt, von Dr. S. Photokopien des Schriftenwechsels mit der Invalidenversicherung zu verlangen (Brief vom 24. Oktober 1969) und ihm eine Kopie der Rentenverfügung zu Handen der Akten zuzustellen (Begleitnotiz vom 10. April 1972). BGE 99 V 177 S. 182 Gemäss Art. 11 Abs. 3 VwG macht die Behörde ihre Mitteilungen an den Vertreter, solange die Partei die Vollmacht nicht widerruft. Dieser Vorschrift ist die Beschwerdegegnerin nicht nachgekommen, wenn sie sich mit der Vorinstanz auf den Standpunkt stellt, die für den Fristenlauf massgebende Eröffnung sei jene vom 7. April 1972 an den Beschwerdeführer persönlich. Art. 11 Abs. 3 VwG ist nicht eine blosse Ordnungsvorschrift, von deren Einhaltung allenfalls ohne weitere Rechtsfolgen abgesehen werden darf. Vielmehr dient diese Bestimmung - im Interesse der Rechtssicherheit - dazu, allfällige Zweifel darüber zum vorneherein zu beseitigen, ob die Mitteilungen an die Partei selber oder an ihren Vertreter zu erfolgen haben, sowie um klarzustellen, welches die für einen Fristenlauf massgebenden Mitteilungen sein sollen. Die Zustellung einer beschwerdefähigen Verfügung an die Partei persönlich anstatt an ihren Vertreter stellt somit eine mangelhafte Eröffnung dar, aus der laut Art. 38 VwG einer Partei kein Nachteil erwachsen darf. Als massgebliches Zustellungsdatum hat daher dasjenige der Zustellung der Verfügungskopie an Dr. S. zu gelten. Mithin ist die Beschwerde fristgemäss eingereicht worden. Unerheblich ist, ob Dr. S. seinerzeit erkannt hat, bzw. nach den Umständen hätte erkennen müssen, dass die Beschwerdegegnerin die Zustellung an den Beschwerdeführer persönlich als die massgebende Eröffnung der Verfügung betrachtete und dass die Zustellung einer Kopie an ihn lediglich orientierungshalber erfolgte. Als Vertreter des Beschwerdeführers brauchte er sich die daraus für ihn resultierende Verkürzung der Beschwerdefrist nicht gefallen zu lassen... Dispositiv Demnach erkennt das Eidg. Versicherungsgericht: In Gutheissung der Verwaltungsgerichtsbeschwerde wird der Entscheid des Versicherungsgerichts des Kantons Bern vom 6. April 1973 aufgehoben und die Sache zur materiellen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